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5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ISABEL MCGARVEY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isabel.mcgarvey@spartans.ut.edu |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267-949-6233 |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Havertown, PA |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www.linkedin.com/in/isabel-mcgarvey</w:t>
      </w:r>
    </w:p>
    <w:p w:rsidR="00000000" w:rsidDel="00000000" w:rsidP="00000000" w:rsidRDefault="00000000" w:rsidRPr="00000000" w14:paraId="00000003">
      <w:pPr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EDUCATION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ind w:left="720" w:right="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University of Tampa ​                                                                                              May 2026 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Bachelor of Arts in Communication and Speech Studies                                               GPA 3.3   </w:t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Honors/Awards: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 &amp; 2025 Sunshine State Conference Commissioner's Honor Roll                                     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2024 &amp; 2025 NCAA Division II National Champion                                             </w:t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WORK EXPERIENCE: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Legal Department Intern          </w:t>
        <w:tab/>
        <w:t xml:space="preserve">        </w:t>
        <w:tab/>
        <w:tab/>
        <w:tab/>
        <w:tab/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December 2025-Present</w:t>
      </w:r>
    </w:p>
    <w:p w:rsidR="00000000" w:rsidDel="00000000" w:rsidP="00000000" w:rsidRDefault="00000000" w:rsidRPr="00000000" w14:paraId="0000000D">
      <w:pPr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Morgan Properties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 ​ ​                                                             ​ ​ ​       </w:t>
        <w:tab/>
        <w:t xml:space="preserve">                          </w:t>
        <w:tab/>
        <w:t xml:space="preserve">               Remote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Streamlined Excel trackers for AVP contracts, COI compliance, and property submissions.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Managed CPO/RRP contracts and property audits to ensure stringent rental-ready standards.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Unified data standards and audited assets to drive operational excellence.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Risk Management Intern          </w:t>
        <w:tab/>
        <w:t xml:space="preserve">        </w:t>
        <w:tab/>
        <w:tab/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June 2025-August 2025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Morgan Properties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 ​ ​                                                             ​ ​ ​       </w:t>
        <w:tab/>
        <w:t xml:space="preserve">                          </w:t>
        <w:tab/>
        <w:t xml:space="preserve">     Conshohocken, PA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Created and managed multiple calendars in Excel and Outlook to support risk and claims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Developed Excel tools to track AVP contracts, COIs, pool records, and property submissions.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Analyzed claims, crisis data, property access, and subrogation incidents to improve tracking.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Investigated claim footage; documented timestamps, locations, and key findings.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Facilitated early claim resolutions by delivering technical analyses and meeting debriefs.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Analyzed incident trends and social media data to mitigate risk.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Standardized RMIS module naming for Incident Reporting and Compliance.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Benchmarked internal safety training against external industry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Coordinated logistics and vendor communications for team events.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Lacrosse Coach ​                                   </w:t>
        <w:tab/>
        <w:t xml:space="preserve">                        </w:t>
        <w:tab/>
        <w:t xml:space="preserve">     </w:t>
        <w:tab/>
        <w:t xml:space="preserve">      </w:t>
        <w:tab/>
        <w:t xml:space="preserve"> </w:t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2022-July 2024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Ultimate Lacrosse​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​ ​                                                              ​ ​ ​       </w:t>
        <w:tab/>
        <w:t xml:space="preserve">          </w:t>
        <w:tab/>
        <w:t xml:space="preserve">   </w:t>
        <w:tab/>
        <w:t xml:space="preserve">         West Chester, PA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Coached girls ages 8–16, focusing on skill development, game strategy, and lacrosse IQ.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Facilitated high-tempo training and on-field communication to drive elite performance.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Built strong rapport across a diverse age group through effective and supportive coaching.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SKILLS AND ATTRIBUTES: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Goal-Oriented                               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Problem Solving &amp; Attention to Detail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right="6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 Management and Prioritization                         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Resilience and Mental Toughness         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Digital Literacy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CERTIFICATIONS: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OSHA 10 Hour in Construction Safety and Health- July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OSHA 10 Hour General Industry Safety and Health- July 2025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AFFILIATIONS/ORGANIZATIONS/CLUBS: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NCAA Athlete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August 2022–May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Tampa Women’s Lacrosse Team​                                                                                             </w:t>
        <w:tab/>
        <w:t xml:space="preserve">       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Enhanced communication skills on and off the field by learning to be clear, concise, and intentional in all interactions.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Adapted to unexpected situations by building routines and setting measurable goals that provided structure and focus.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Morgan’s Message Ambassador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August 2022–May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 of Tampa                                                                                              </w:t>
        <w:tab/>
        <w:t xml:space="preserve">                               Advocated for mental health awareness in student-athletes through outreach and programming.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Organized and participated in events to promote open conversations about mental well-being in sports.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QT1Vvw0cdL8RllxSm4NgV6AKQ==">CgMxLjA4AHIhMWwzRThxNVdMWUdXQUxoQ056RmJ4QmNYcEZnYzBUUkJN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